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6A" w:rsidRPr="00930B6A" w:rsidRDefault="00930B6A" w:rsidP="00930B6A">
      <w:pPr>
        <w:pStyle w:val="Nadpis1"/>
        <w:numPr>
          <w:ilvl w:val="0"/>
          <w:numId w:val="0"/>
        </w:numPr>
        <w:ind w:left="432" w:hanging="432"/>
        <w:rPr>
          <w:rStyle w:val="Zkladntext2"/>
          <w:rFonts w:eastAsiaTheme="majorEastAsia"/>
          <w:color w:val="auto"/>
        </w:rPr>
      </w:pPr>
      <w:r w:rsidRPr="00930B6A">
        <w:rPr>
          <w:rStyle w:val="Zkladntext2"/>
          <w:rFonts w:eastAsiaTheme="majorEastAsia"/>
          <w:color w:val="auto"/>
        </w:rPr>
        <w:t xml:space="preserve">POZNÁMKY </w:t>
      </w:r>
    </w:p>
    <w:p w:rsidR="00930B6A" w:rsidRPr="008D10E5" w:rsidRDefault="00930B6A" w:rsidP="00930B6A">
      <w:pPr>
        <w:pStyle w:val="Zkladntext40"/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b/>
          <w:spacing w:val="0"/>
          <w:sz w:val="20"/>
          <w:szCs w:val="20"/>
          <w:shd w:val="clear" w:color="auto" w:fill="FFFFFF"/>
        </w:rPr>
        <w:t>1</w:t>
      </w:r>
      <w:r w:rsidRPr="008D10E5">
        <w:rPr>
          <w:rFonts w:ascii="Times New Roman" w:hAnsi="Times New Roman" w:cs="Times New Roman"/>
          <w:spacing w:val="0"/>
          <w:sz w:val="20"/>
          <w:szCs w:val="20"/>
          <w:shd w:val="clear" w:color="auto" w:fill="FFFFFF"/>
        </w:rPr>
        <w:t xml:space="preserve"> – Porov. Ján Pavol II., apoštolská exhortácia </w:t>
      </w:r>
      <w:r w:rsidRPr="008D10E5">
        <w:rPr>
          <w:rFonts w:ascii="Times New Roman" w:hAnsi="Times New Roman" w:cs="Times New Roman"/>
          <w:i/>
          <w:spacing w:val="0"/>
          <w:sz w:val="20"/>
          <w:szCs w:val="20"/>
          <w:shd w:val="clear" w:color="auto" w:fill="FFFFFF"/>
        </w:rPr>
        <w:t>Familiaris consortio</w:t>
      </w:r>
      <w:r w:rsidRPr="008D10E5">
        <w:rPr>
          <w:rFonts w:ascii="Times New Roman" w:hAnsi="Times New Roman" w:cs="Times New Roman"/>
          <w:spacing w:val="0"/>
          <w:sz w:val="20"/>
          <w:szCs w:val="20"/>
          <w:shd w:val="clear" w:color="auto" w:fill="FFFFFF"/>
        </w:rPr>
        <w:t xml:space="preserve">,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22.11.1981: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AAS14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(1982), s. 105, č. 21.</w:t>
      </w:r>
    </w:p>
    <w:p w:rsidR="00930B6A" w:rsidRPr="008D10E5" w:rsidRDefault="00930B6A" w:rsidP="00930B6A">
      <w:pPr>
        <w:pStyle w:val="Zkladntext40"/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2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– 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č, 33.</w:t>
      </w:r>
    </w:p>
    <w:p w:rsidR="00930B6A" w:rsidRPr="008D10E5" w:rsidRDefault="00930B6A" w:rsidP="00930B6A">
      <w:pPr>
        <w:pStyle w:val="Zkladntext40"/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4TimesNewRoman85bodovTunKurzvaRiadkovanie0pt"/>
          <w:rFonts w:eastAsia="Sylfaen"/>
          <w:i w:val="0"/>
          <w:color w:val="auto"/>
          <w:spacing w:val="0"/>
          <w:sz w:val="20"/>
          <w:szCs w:val="20"/>
        </w:rPr>
        <w:t>3</w:t>
      </w:r>
      <w:r w:rsidRPr="008D10E5">
        <w:rPr>
          <w:rStyle w:val="Zkladntext4TimesNewRoman85bodovTunKurzvaRiadkovanie0pt"/>
          <w:rFonts w:eastAsia="Sylfaen"/>
          <w:b w:val="0"/>
          <w:i w:val="0"/>
          <w:color w:val="auto"/>
          <w:spacing w:val="0"/>
          <w:sz w:val="20"/>
          <w:szCs w:val="20"/>
        </w:rPr>
        <w:t xml:space="preserve"> –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  Katechizmus katolíckej cirkvi,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11.10.1992, č. 2337, Libreria Editrice Vaticana.</w:t>
      </w:r>
    </w:p>
    <w:p w:rsidR="00930B6A" w:rsidRPr="008D10E5" w:rsidRDefault="00930B6A" w:rsidP="00930B6A">
      <w:pPr>
        <w:pStyle w:val="Zkladntext40"/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4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– Porov. dogmatická kon</w:t>
      </w:r>
      <w:bookmarkStart w:id="0" w:name="_GoBack"/>
      <w:bookmarkEnd w:id="0"/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štitúcia o Cirkvi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Lumen gen- tium,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11; porov. dekrét o apoštoláte laikov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Apostolicam actuositatem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11.</w:t>
      </w:r>
    </w:p>
    <w:p w:rsidR="00930B6A" w:rsidRPr="008D10E5" w:rsidRDefault="00930B6A" w:rsidP="00930B6A">
      <w:pPr>
        <w:pStyle w:val="Zkladntext40"/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5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–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Katechizmus katolíckej cirkvi,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1632; porov. Druhý vatikánsky koncil, pastorálna konštitúcia o Cirkvi v dneš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 xml:space="preserve">nom svete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Gaudium et spes,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49.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 xml:space="preserve">–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Ján Pavol II., list rodinám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 sane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, 2.2.1994: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AAS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86 (1994), s. 917, Č. 20.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–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- 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S v. Klement Rímsky,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Epistula ad Corinthios,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61, 1-2; porov.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Katechizmus katolíckej cirkvi,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1900.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–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Familiaris consortio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>, č. 11.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Porov. Ján Pavol II., apoštolský list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Mulieris digni- tatem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, 15.8.1988: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AAS SO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(1988), s. 1667 a 1693, č. 7 a 18.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Ján Pavol II., apoštolská exhortácia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Christifideles laici</w:t>
      </w:r>
      <w:r w:rsidRPr="008D10E5">
        <w:rPr>
          <w:rFonts w:ascii="Times New Roman" w:hAnsi="Times New Roman" w:cs="Times New Roman"/>
          <w:spacing w:val="0"/>
          <w:sz w:val="20"/>
          <w:szCs w:val="20"/>
          <w:vertAlign w:val="subscript"/>
        </w:rPr>
        <w:t>}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30.12.1988: AAS 81 (1989), s. 456, č. 34.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 - Gaudium et spes,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22.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List rodinám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 sane,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14.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Tamže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Kongregácia pre katolícku výchovu,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Orientamenti educativi sulľ amore umano,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1.11.1983, č. 4.: ĽOsservatore Romano, tal. verzia, príloha, 2.12.1983.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Ján Pavol II.,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Generálna audiencia,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16.1.1980: ĽOsservatore Romano, tal. verzia, 17.1.1980, s. 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Orientamenti educativi sulľ amore umano,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List rodinám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Gratissimam. sane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13.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Ján Pavol II., encyklika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Evanjelium vitae,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25.3.1995, Libreria Editrice Vaticana, č. 92.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- Ján Pavol II.,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Generálna audiencia,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9.1.1980: UOsservatore Romano, tal. verzia, 10.1.1980, s. 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Katechizmus katolíckej cirkvi,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2349.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11.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b/>
          <w:i/>
          <w:spacing w:val="0"/>
          <w:sz w:val="20"/>
          <w:szCs w:val="20"/>
        </w:rPr>
        <w:t>Orientamenti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 xml:space="preserve"> educativi sulľ amore umano,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4.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NiekurzvaRiadkovanie0pt"/>
          <w:rFonts w:eastAsia="Sylfae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 xml:space="preserve"> -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11</w:t>
      </w:r>
      <w:r w:rsidRPr="008D10E5">
        <w:rPr>
          <w:rStyle w:val="Zkladntext7NiekurzvaRiadkovanie0pt"/>
          <w:rFonts w:eastAsia="Sylfaen"/>
          <w:b w:val="0"/>
          <w:color w:val="auto"/>
          <w:spacing w:val="0"/>
          <w:sz w:val="20"/>
          <w:szCs w:val="20"/>
        </w:rPr>
        <w:t>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 xml:space="preserve"> - Katechizmus katolíckej cirkvi,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2360.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 xml:space="preserve"> -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14.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 xml:space="preserve"> - Katechizmus katolíckej cirkvi,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2337.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5. 2339.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Pórov. Ján Pavol II.,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Príhovor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účastníkom seminá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ra na tému Zodpovedné rodičovstvo, prednesený pre Ka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 xml:space="preserve">tolícku univerzitu Božského Srdca a Inštitút Jána Pavla II., 17. 9. 1983: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Insegnamenti di Giovanni Paolo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//., zv. VI, 2, s. 564.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Katechizmus katolíckej cirkvi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>, č. 2349.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Pozri č. 54.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Porov. Pavol VI., encyklika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Humanae vitae,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25.7.1968: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AAS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60 (1968), s. 485 a 486, č. 8 a 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Nepočínať si tak je vždy klam, ako na to poukazuje sv. Ján z Avily: niektorí sú v takej tme, že „veria, že ak ich srdce pobáda Čosi urobiť, majú to vykonať, aj keby sa to prie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 xml:space="preserve">čilo Božím prikázaniam; hovoria, že ho milujú natoľko, že hoci porušujú jeho prikázania, neprichádzajú o jeho lásku. Zabúdajú pritom, že Syn Boží vlastnými ústami vyhlásil pravý opak: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Kto má moje prikázania a zachováva ich, ten ma miluje (Jn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14,21):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ak ma niekto miluje, bude zachovávať moje slovo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(porov.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Jn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14,23).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Kto ma nemiluje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nezachová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softHyphen/>
        <w:t>va moje prikázania.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Ako vraví s v. Augustín: „Nikto nemi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luje kráľa, ak sa mu jeho príkazy protivia“ (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Audi jilia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kap. 50).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Ján Pavol II.,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Generálna audiencia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, 14.11.1984: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Insegnamenti di Giovanni Paolo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//, zv. VII., 2, s. 1208.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Evanjelium vitae,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97.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Familiaris consortio,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36-37.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Druhý vatikánsky koncil, deklarácia o kresťanskej výchove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Gravissimum educationis,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Porov. list rodinám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 sane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 -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 -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66.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 - Tamže.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Tamže.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lastRenderedPageBreak/>
        <w:t xml:space="preserve"> 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Lumen gentium,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11.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Porov. Ján Pavol II.,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Príhovor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na XVI. plenárnom zasadaní C.E.I., 15.5.1979: ĽOsservatore Romano, tal. ver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zia, 17.5.1979, s. 2.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Lumen gentium,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11.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 xml:space="preserve"> - Humanae vitae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, Č. 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- List rodinám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 sane,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Gaudium et spes,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24,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List rodinám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 sane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Humanae vitae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, č. 9. 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List rodinám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 sane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 xml:space="preserve">Rituale Romanum, Ordo celebrandi matrimonium,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č. 60.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Familiaris consortio,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20, citujúc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Mt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19,6.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List rodinám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Gratissimam sane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, Č. 12.; porov.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Humanae vitae,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12;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Katechizmus katolíckej cirkvi,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2366.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Porov. Tertulián,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Ad uxorem,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II., VIII., 6-8: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CCL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1, 393-394;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Familiaris consortio,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5. 13.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Ján Pavol II.,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Príhovor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účastníkom stretnutia Rodiny v službe života, usporiadateľ Biskupská komisia C.E.I., 28.4.1990: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Insegnamenti di Giovanni Paolo II,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zv. XIII, 1, s. 1055-1056.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37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Druhý vatikánsky koncil, dekrét o obnove rehoľné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 xml:space="preserve">ho ži vota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Perfectae caritaíis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24.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Druhý vatikánsky koncil, dekrét o kňazskej výcho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 xml:space="preserve">ve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Optatam totius,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2.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Druhý vatikánsky koncil, dekrét o kňazskej službe a živote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Presbyterorum ordinis,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List rodinám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 sane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38.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36. 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Gravissimum educationis,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Charta práv rodiny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uverejnená Svätým stolcom, 22.10.1983, čl. 5.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37; pozri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Charta práv rodi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softHyphen/>
        <w:t>ny,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Čl. 5 c.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 xml:space="preserve"> -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Ďalší citlivý a zložitý problém z hľadiska výchovy detí, ktorý v tomto dokumente nemožno primerane prebrať, sa týka prenášania AIDS pri používaní drog a pri sexuálnom styku. Miestne cirkvi sú zapojené v mnohorakých pomoc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ných akciách na podporu postihnutých a pri prevencii. Čo sa týka zvláštnej prevencie proti AIDS, treba propa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govať hodnotu usporiadanej sexuality zameranej na rodinu; súčasne treba korigovať rozšírený názor na základe propa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gandy o takzvanom „bezpečnom sexe“ a šírenie ochranných prostriedkov (kondómov). Takýto názor sa protiví morálke, je klamný a končí sa rastom promiskuity (striedania partne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rov) a neviazaných vzťahov v dôsledku klamného presved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čenia, že tu naozaj nič nehrozí. Objektívne a vedecky pod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ložené výskumy dokazujú vysokú nespoľahlivosť takýchto prostriedkov.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 -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Gaudium et spes,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52. 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Familiaris consortio,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39, 51-54.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4TimesNewRoman85bodovTunKurzvaRiadkovanie0pt"/>
          <w:rFonts w:eastAsia="Sylfae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Ján Pavol II., encyklika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Centesimus annus,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5.1991: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AAS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83 (1991), s. 855, č. 49.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Familiaris consortio,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18, 63-64.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Tamie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  <w:vertAlign w:val="subscript"/>
        </w:rPr>
        <w:t>y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Porov. sv. Tomáš Akvinský,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Sumrna theologiae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I—II, q. 106, a. 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II.—II., q. 153, a. 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Orientamenti educativi sulľ amore umano,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35.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Familiaris consortio,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76; porov. aj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Orientamenti educativi sulľ amore umano,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68; porov. Pápečskď rada pre sociálne komunikácie,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Pornografia e vio- lenza nei mezzi di comunicazione sociale: U na risposta pas- torale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7.5.1989: ĽOsservatore Romano, tal. verzia, príloha A, 17.5.1989, č. 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Ján Pavol II.,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Príhovor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účastníkom stretnutia orga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nizovaného Pápežskou radou pre rodinu a Pápežskou radou pre spoločenské komunikačné prostriedky na tému Práva rodiny a spoločenské komunikačné prostriedky, 4.6.1993: ĽOsservatore Romano, tal. verzia, 5.6.1993, s. 5.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Ján Pavol II., Posolstvo k XV. Dňu spoločenských komunikačných prostriedkov, 10.5.1981: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Messaggi del Papa,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Libreria Editrice Vaticana, s. 73.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s. 73.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76.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Mulieris dignitatem,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18-19.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lastRenderedPageBreak/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25.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37; porov. aj č. 47-48.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List rodinám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 sane,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Ján Pavol II.,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Homília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v Capítol Mail, Washington DC, USA, 7. 10. 1979: ĽOsservatore Romano, 8.-9. 10. 1979, príloha, s. LXXVII.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Familiaris consortio,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59-61; Kongregácia pre náuku viery, vyhlásenie k niektorým otázkam sociálnej etiky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Persona umana,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29.12.1975: ĽOsservatore Romano, tal. verzia 16.1.1976, s. 1, č. 12.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59.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60.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105bodovNietunNiekurzvaRiadkovanie0pt"/>
          <w:rFonts w:eastAsia="Sylfae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Orientamenti educativi sulľ amore umano,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</w:t>
      </w:r>
      <w:r w:rsidRPr="008D10E5">
        <w:rPr>
          <w:rStyle w:val="Zkladntext7105bodovNietunNiekurzvaRiadkovanie0pt"/>
          <w:rFonts w:eastAsia="Sylfaen"/>
          <w:color w:val="auto"/>
          <w:spacing w:val="0"/>
          <w:sz w:val="20"/>
          <w:szCs w:val="20"/>
        </w:rPr>
        <w:t>48.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105bodovNietunNiekurzvaRiadkovanie0pt"/>
          <w:rFonts w:eastAsia="Sylfae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Charta práv rodiny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čl. 5 c.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105bodovNietunNiekurzvaRiadkovanie0pt"/>
          <w:rFonts w:eastAsia="Sylfae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Orientamenti educativi sull ’ amore umano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>, č. 69.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 -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38" w:lineRule="exact"/>
        <w:ind w:right="20"/>
        <w:jc w:val="both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Orientamenti educativi sulľ amore umano,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58.</w:t>
      </w:r>
    </w:p>
    <w:p w:rsidR="00930B6A" w:rsidRPr="008D10E5" w:rsidRDefault="00930B6A" w:rsidP="00930B6A">
      <w:pPr>
        <w:pStyle w:val="Zkladntext70"/>
        <w:numPr>
          <w:ilvl w:val="0"/>
          <w:numId w:val="1"/>
        </w:numPr>
        <w:shd w:val="clear" w:color="auto" w:fill="auto"/>
        <w:tabs>
          <w:tab w:val="left" w:pos="617"/>
        </w:tabs>
        <w:rPr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 -Porov. </w:t>
      </w:r>
      <w:r w:rsidRPr="008D10E5">
        <w:rPr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- Sv. Ján Zlatoústy,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Homiliae in Matthaeum,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81,5: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PG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58, 737.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NiekurzvaRiadkovanie0pt"/>
          <w:rFonts w:eastAsia="Sylfae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Persona umana,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</w:t>
      </w:r>
      <w:r w:rsidRPr="008D10E5">
        <w:rPr>
          <w:rStyle w:val="Zkladntext7NiekurzvaRiadkovanie0pt"/>
          <w:rFonts w:eastAsia="Sylfaen"/>
          <w:b w:val="0"/>
          <w:bCs w:val="0"/>
          <w:color w:val="auto"/>
          <w:spacing w:val="0"/>
          <w:sz w:val="20"/>
          <w:szCs w:val="20"/>
        </w:rPr>
        <w:t>12.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tamže,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9;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Orientamenti educativi sulľ amore umano,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99.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Gaudium et spes,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24.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Sv. Ján Zlatoústy,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Homiliae in Matthaeum,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7, 7: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PG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57, 80-81.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Ján Pavol </w:t>
      </w:r>
      <w:r w:rsidRPr="008D10E5">
        <w:rPr>
          <w:rStyle w:val="Zkladntext4TimesNewRoman85bodovTunRiadkovanie0pt"/>
          <w:rFonts w:eastAsia="Sylfaen"/>
          <w:color w:val="auto"/>
          <w:spacing w:val="0"/>
          <w:sz w:val="20"/>
          <w:szCs w:val="20"/>
        </w:rPr>
        <w:t xml:space="preserve">II.,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apoštolská exhortácia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Catechesi tra- dendae,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16.10.1979: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AAS1\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(1979) s. 1309, č. 38.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V rozličných kultúrach je taký pozitívny postoj hlboko zakorenený a puberta sa oslavuje „obradmi precho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du“, alebo uvedením do dospelosti. Katolíci pod starostli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vým vedením Cirkvi môžu z toho prijať to, čo je v takýchto zvyklostiach dobré a pravdivé, no očistiť ich od všetkého, čo je neprimerané alebo nemorálne.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Mulieris dignitatem,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17 n.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28; porov. aj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Gaudium et spes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>, č. 50.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Gaudium et spes,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49.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Katechizmus katolíckej cirkvi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, č. 2052 n.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Gaudium et spes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>,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 - Katechizmus katolíckej cirkvi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>, Č. 1777.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1778.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Porov. S v. Terézia,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Poesie,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5-9; s v. Ján od Kríža, Poesie, 10. 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Orientamenti educativi sulľ amore umano</w:t>
      </w:r>
      <w:r w:rsidRPr="008D10E5">
        <w:rPr>
          <w:rStyle w:val="Zkladntext7NiekurzvaRiadkovanie0pt"/>
          <w:rFonts w:eastAsia="Sylfaen"/>
          <w:b w:val="0"/>
          <w:color w:val="auto"/>
          <w:spacing w:val="0"/>
          <w:sz w:val="20"/>
          <w:szCs w:val="20"/>
        </w:rPr>
        <w:t xml:space="preserve">,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č. 90.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53.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Christifideles laici,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58.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Ján Pavol II., apoštolský list mládeži celého sveta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Parati semper,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31.3.1985: AAS</w:t>
      </w:r>
      <w:r w:rsidRPr="008D10E5">
        <w:rPr>
          <w:rFonts w:ascii="Times New Roman" w:hAnsi="Times New Roman" w:cs="Times New Roman"/>
          <w:spacing w:val="0"/>
          <w:sz w:val="20"/>
          <w:szCs w:val="20"/>
          <w:vertAlign w:val="superscript"/>
        </w:rPr>
        <w:t>1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77 (1985), s. 602, č. 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Lumen gentium,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kap. V.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 - Pavol VI., Motu proprio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Sanctitatis clarior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, 19.3.1969: AAS 61 (1969), s. 149. 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Pozri najmä V. kap.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Lumen gentium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,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39-42, ktorá hovorí o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všeobecnom povolaní na svätosť v Cirkvi.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 - Christifideles laici,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 - Porov. Tertulián,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De exhortatione castitatis,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10: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CChL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2, 1029-1030; sv. Cyprián,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De habitu virginum,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3 a 22: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CSEL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3/1, 189 a 202-203; sv. Atanáz,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De virginitate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PG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28, 252-281; sv. Ján Zlatoústy,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De virginitate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SCh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125; Pius XII., apoštolská exhortácia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Menti nostrae,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23.9.1950: AAS 42 (1950), s. 682; Ján XXIII.,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Príhovor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účastníkom Prvého medzinárodného kongresu Povolania na stavy doko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nalosti v dnešnom svete, usporiadateľ: Posvätná kongregá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 xml:space="preserve">cia pre rehoľníkov, 16.12.1961: AAS 54 (1962), s. 33;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Lumen gentium,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42;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Familiaris consortio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Ján Pavol II.,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Homília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počas omše v meste Limerick (Írsko), 1.10.1979: ĽOsservatore Romano, - 2.10.1979, príloha, s. XX. 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4TimesNewRoman85bodovTunRiadkovanie0pt"/>
          <w:rFonts w:eastAsia="Sylfaen"/>
          <w:b w:val="0"/>
          <w:b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List rodinám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 sane,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</w:t>
      </w:r>
      <w:r w:rsidRPr="008D10E5">
        <w:rPr>
          <w:rStyle w:val="Zkladntext4TimesNewRoman85bodovTunRiadkovanie0pt"/>
          <w:rFonts w:eastAsia="Sylfaen"/>
          <w:color w:val="auto"/>
          <w:spacing w:val="0"/>
          <w:sz w:val="20"/>
          <w:szCs w:val="20"/>
        </w:rPr>
        <w:t>2.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4TimesNewRoman85bodovTunRiadkovanie0pt"/>
          <w:rFonts w:eastAsia="Sylfaen"/>
          <w:color w:val="auto"/>
          <w:spacing w:val="0"/>
          <w:sz w:val="20"/>
          <w:szCs w:val="20"/>
        </w:rPr>
        <w:t xml:space="preserve">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Okrem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Gaudium et spes,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47-52,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Humanae vitae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a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Familiaris consortio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majú k dispozícii aj iné významné dokumenty Kongregácia pre učenie viery,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Persona umana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a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La eura pastorale delle persone omosessuali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, 1.10.1986: ĽOsservatore Romano, tal. verzia, 21.10.1986, s. 5, a Kongregácia pre katolícku výchovu,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Orientamenti educa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softHyphen/>
        <w:t>tivi sulľ amore umano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, spolu s náukou v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Katechizme kato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softHyphen/>
        <w:t>líckej cirkvi,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2331-2400, č. 2514-2533. Orientamenti educativi sulľ amore umano,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90.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lastRenderedPageBreak/>
        <w:t xml:space="preserve">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Persona umana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č. 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- 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Dokumenty Kongregácie pre učenie viery,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Persona umana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a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La eura pastorale delle persone omoses- suali\ Katechizmus katolíckej cirkvi,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2357-2359.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Persona umana</w:t>
      </w:r>
      <w:r w:rsidRPr="008D10E5">
        <w:rPr>
          <w:rStyle w:val="Zkladntext7NiekurzvaRiadkovanie0pt"/>
          <w:rFonts w:eastAsia="Sylfaen"/>
          <w:b w:val="0"/>
          <w:bCs w:val="0"/>
          <w:color w:val="auto"/>
          <w:spacing w:val="0"/>
          <w:sz w:val="20"/>
          <w:szCs w:val="20"/>
        </w:rPr>
        <w:t xml:space="preserve">, 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>č. 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Persona umana</w:t>
      </w:r>
      <w:r w:rsidRPr="008D10E5">
        <w:rPr>
          <w:rStyle w:val="Zkladntext7NiekurzvaRiadkovanie0pt"/>
          <w:rFonts w:eastAsia="Sylfaen"/>
          <w:b w:val="0"/>
          <w:bCs w:val="0"/>
          <w:color w:val="auto"/>
          <w:spacing w:val="0"/>
          <w:sz w:val="20"/>
          <w:szCs w:val="20"/>
        </w:rPr>
        <w:t xml:space="preserve">,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č. 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Katechizmus katolíckej cirkvi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2357.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</w:t>
      </w:r>
      <w:r w:rsidRPr="008D10E5">
        <w:rPr>
          <w:rStyle w:val="Zkladntext4TimesNewRoman85bodovTunKurzvaRiadkovanie0pt"/>
          <w:rFonts w:eastAsia="Sylfaen"/>
          <w:b w:val="0"/>
          <w:color w:val="auto"/>
          <w:spacing w:val="0"/>
          <w:sz w:val="20"/>
          <w:szCs w:val="20"/>
        </w:rPr>
        <w:t>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2358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2359.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- Toto spolu s uvedomením si mimoriadnej sily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libi- da,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ako na to poukazuje výskum ľudskej psychiky, napo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 xml:space="preserve">môže pochopiť učenie Cirkvi o veľkej závažnosti každého nezriadeného užívania sexu: „podľa kresťanskej tradície... a aj na základe zdravého rozumu prináša morálny poriadok v sexualite ľudskému životu také vysoké hodnoty, Že každé priame porušenie tohto poriadku je svojou povahou ťažké“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(Persona umana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10). Vieme, že učenie Cirkvi tu vzhľa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 xml:space="preserve">dom na predmet hovorí o ťažkej povahe takéhoto skutku, no pripúšťa, že nemusí ísť o ťažkú vinu pre nedokonalosť vôle; v tom istom odstavci deklarácie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Persona umana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sa objas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ňuje, že zvlášť v tejto oblasti je takáto nedokonalosť možná.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Evanjelium vitae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č. 97.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Stačí si pripomenúť prehrešky na niektorých dis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kotékach aj medzi chlapcami mladšími ako 16 rokov.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, č. 66.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- Nasledujúce odporúčania sa formulovali: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a)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vo svetle práva každej osoby veriť a uplatňovať katolícku vieru: porov. Druhý vatikánsky koncil, deklarácia o náboženskej slobode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Dignitatis humanae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, č. 1,2, 5, 13, 14;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Charta práv rodiny,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čl. 7;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b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) v termínoch práva na slobodu a dôstojnosť rodiny: porov. Úvod v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Charte práv rodiny, Dignitatis huma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softHyphen/>
        <w:t>nae,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5;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Familiaris consortio,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26,42, 46.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Gravissimum educationis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, č. 3;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36;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Charta práv rodiny,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čl. 5.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Charta práv rodiny,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ČI. 8 a 5 c;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Kódex kano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softHyphen/>
        <w:t>nického práva,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25.1.1983, kán. 215, kán. 223, § 2, kán. 799; list rodinám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 sane,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Toto odporúčanie sa odvodzuje z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Charty práv rodiny,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ČI. 5 c, d, e, lebo právo na znalosť zahŕňa dohľad a kontrolu zo strany rodičov.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Toto odporúčanie sa odvodzuje z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Charty práv rodiny,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ČI. 5 c, d, e, lebo účasť rodičov uľahčuje ich dohľad a kontrolu výchovy vlastných detí k láske.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Toto odporúčanie sa odvodzuje z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Charty práv rodiny,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ČI. 5 c, d, e, lebo právo vyňať svoje deti zo sexuálnej výchovy umožňuje rodičom sloboda uplatňovať svoje právo na výchovu vlastných detí podľa svojho svedomia (čl. 5 a).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Charta práv rodiny,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Čl. 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čl. 4 e.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Toto odporúčanie vyplýva z deklarácie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Gravissi- mum educationis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Toto odporúčanie je praktickým rozšírením práva dieťaťa byť čistým, ako sa uvádza v bode č. 118, a zodpove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dá právu rodičov uvedenému v bode č. 117.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Porov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Orientamenti educativi sulľ amore umano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,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č. 101-103.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La eura pastorale delle persone omosessuali,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17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Gravissimum educationis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č. 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č. 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Napríklad: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a)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obrázkové erotické materiály,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b)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písomné a rozprávané erotické materiály (por.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Orientamenti educativi sulľ amore umano), c)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oplzlé a hrubé reči,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 xml:space="preserve">d)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neslušné vtipy,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e)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znevažovanie čistoty,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f)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pokusy zmalicherňovať závažnosť hriechu proti tejto cnosti.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Okrem prípadov uváženého a primeraného poučo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vania o prirodzenej regulácii počatia.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Porov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Orientamenti educativi sull 'amore umano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,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č. 58.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63.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21.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List rodinám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 sane,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-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Porov. Pápežská rada pre rodinu, Instrumentum laboris,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Evoluzioni demografiche: dimensioni etiche e pas- torali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, 25.3.1994, č. 28 a 84, Libreria Editrice Vaticana;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Orientamenti educativi sulľ amore umano,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62.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List Svätého Otca hlavám štátov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v Zborníku z Káhirskej konferencie, 19.3.1994: ĽOsservatore Romano, tal. verzia, 15.4.1994, s. 1.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Evangelium vitae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č. 58-63.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Porov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Orientamenti educativi sulľ amore umano</w:t>
      </w:r>
      <w:r w:rsidRPr="008D10E5">
        <w:rPr>
          <w:rStyle w:val="Zkladntext7NiekurzvaRiadkovanie0pt"/>
          <w:rFonts w:eastAsia="Sylfaen"/>
          <w:color w:val="auto"/>
          <w:spacing w:val="0"/>
          <w:sz w:val="20"/>
          <w:szCs w:val="20"/>
        </w:rPr>
        <w:t xml:space="preserve">,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č. 62.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32.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lastRenderedPageBreak/>
        <w:t xml:space="preserve">  - Porov. Ján Pavol II., encyklika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Veritatis splendor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, 6.8.1993; AAS 85 (1993), s. 1208-1210, č. 95-97.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tamže,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41, o pravej morálnej nezávislos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>ti človeka.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Style w:val="Zkladntext7Sylfaen9bodovNietunNiekurzvaRiadkovanie0pt"/>
          <w:rFonts w:ascii="Times New Roman" w:hAnsi="Times New Roman" w:cs="Times New Roman"/>
          <w:b w:val="0"/>
          <w:bCs w:val="0"/>
          <w:i w:val="0"/>
          <w:iCs w:val="0"/>
          <w:color w:val="auto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 xml:space="preserve">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Orientamenti educativi sulľ amore umano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>, č. 58.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b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tamže,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19; </w:t>
      </w:r>
      <w:r w:rsidRPr="008D10E5">
        <w:rPr>
          <w:rFonts w:ascii="Times New Roman" w:hAnsi="Times New Roman" w:cs="Times New Roman"/>
          <w:b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b w:val="0"/>
          <w:color w:val="auto"/>
          <w:spacing w:val="0"/>
          <w:sz w:val="20"/>
          <w:szCs w:val="20"/>
        </w:rPr>
        <w:t xml:space="preserve"> č. 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Medzinárodná teologická komisia,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Fede e incultu- razione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, I., 10, 3.-8.10.1988: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Omnis Terra,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ročník VII., č. 21, september-december 1989, s. 220.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Porov. 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>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66.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Porov.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Familiaris consortio,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36 a 40; list rodi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softHyphen/>
        <w:t xml:space="preserve">nám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Gratissimam sane,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16.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Tí, čo pomáhajú rodičom, môžu si prispôsobiť zásady, uvedené pre učiteľov v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Orientamenti educativi sulľ amore umano,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č. 79-89.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Familiaris consortio,</w:t>
      </w:r>
      <w:r w:rsidRPr="008D10E5">
        <w:rPr>
          <w:rStyle w:val="Zkladntext7Sylfaen9bodovNietunNiekurzvaRiadkovanie0pt"/>
          <w:rFonts w:ascii="Times New Roman" w:hAnsi="Times New Roman" w:cs="Times New Roman"/>
          <w:color w:val="auto"/>
          <w:spacing w:val="0"/>
          <w:sz w:val="20"/>
          <w:szCs w:val="20"/>
        </w:rPr>
        <w:t xml:space="preserve"> č. 37.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Pozri vyššie, č. 65-76; 121 -144.</w:t>
      </w:r>
    </w:p>
    <w:p w:rsidR="00930B6A" w:rsidRPr="008D10E5" w:rsidRDefault="00930B6A" w:rsidP="00930B6A">
      <w:pPr>
        <w:pStyle w:val="Zkladn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38" w:lineRule="exact"/>
        <w:ind w:right="8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- Porov. Ján Pavol II., apoštolská exhortácia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Redemptoris custos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. 15.8.1989: </w:t>
      </w:r>
      <w:r w:rsidRPr="008D10E5">
        <w:rPr>
          <w:rStyle w:val="Zkladntext4TimesNewRoman85bodovTunKurzvaRiadkovanie0pt"/>
          <w:rFonts w:eastAsia="Sylfaen"/>
          <w:color w:val="auto"/>
          <w:spacing w:val="0"/>
          <w:sz w:val="20"/>
          <w:szCs w:val="20"/>
        </w:rPr>
        <w:t>AAS</w:t>
      </w:r>
      <w:r w:rsidRPr="008D10E5">
        <w:rPr>
          <w:rFonts w:ascii="Times New Roman" w:hAnsi="Times New Roman" w:cs="Times New Roman"/>
          <w:spacing w:val="0"/>
          <w:sz w:val="20"/>
          <w:szCs w:val="20"/>
        </w:rPr>
        <w:t xml:space="preserve"> 82 (1990), s. 33, č. 31.</w:t>
      </w:r>
    </w:p>
    <w:p w:rsidR="00493691" w:rsidRPr="00930B6A" w:rsidRDefault="00493691" w:rsidP="00930B6A"/>
    <w:sectPr w:rsidR="00493691" w:rsidRPr="0093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5640"/>
    <w:multiLevelType w:val="hybridMultilevel"/>
    <w:tmpl w:val="FC72678E"/>
    <w:lvl w:ilvl="0" w:tplc="F47CDEB2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5F34FD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4FD2B26"/>
    <w:multiLevelType w:val="hybridMultilevel"/>
    <w:tmpl w:val="5DCCB170"/>
    <w:lvl w:ilvl="0" w:tplc="C2D4DB16">
      <w:start w:val="1"/>
      <w:numFmt w:val="decimal"/>
      <w:lvlText w:val="%1"/>
      <w:lvlJc w:val="left"/>
      <w:pPr>
        <w:ind w:left="720" w:hanging="360"/>
      </w:pPr>
      <w:rPr>
        <w:rFonts w:ascii="Times New Roman" w:eastAsia="Sylfae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6A"/>
    <w:rsid w:val="00493691"/>
    <w:rsid w:val="009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0B6A"/>
    <w:pPr>
      <w:keepNext/>
      <w:keepLines/>
      <w:numPr>
        <w:numId w:val="3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0B6A"/>
    <w:pPr>
      <w:keepNext/>
      <w:keepLines/>
      <w:numPr>
        <w:ilvl w:val="1"/>
        <w:numId w:val="3"/>
      </w:numPr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4">
    <w:name w:val="Základný text (4)_"/>
    <w:basedOn w:val="Predvolenpsmoodseku"/>
    <w:link w:val="Zkladntext40"/>
    <w:rsid w:val="00930B6A"/>
    <w:rPr>
      <w:rFonts w:ascii="Sylfaen" w:eastAsia="Sylfaen" w:hAnsi="Sylfaen" w:cs="Sylfaen"/>
      <w:spacing w:val="2"/>
      <w:sz w:val="18"/>
      <w:szCs w:val="18"/>
      <w:shd w:val="clear" w:color="auto" w:fill="FFFFFF"/>
    </w:rPr>
  </w:style>
  <w:style w:type="character" w:customStyle="1" w:styleId="Zkladntext4TimesNewRoman85bodovTunKurzvaRiadkovanie0pt">
    <w:name w:val="Základný text (4) + Times New Roman;8;5 bodov;Tučné;Kurzíva;Riadkovanie 0 pt"/>
    <w:basedOn w:val="Zkladntext4"/>
    <w:rsid w:val="00930B6A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sk-SK"/>
    </w:rPr>
  </w:style>
  <w:style w:type="paragraph" w:customStyle="1" w:styleId="Zkladntext40">
    <w:name w:val="Základný text (4)"/>
    <w:basedOn w:val="Normlny"/>
    <w:link w:val="Zkladntext4"/>
    <w:rsid w:val="00930B6A"/>
    <w:pPr>
      <w:widowControl w:val="0"/>
      <w:shd w:val="clear" w:color="auto" w:fill="FFFFFF"/>
      <w:spacing w:before="5580" w:after="0" w:line="292" w:lineRule="exact"/>
      <w:jc w:val="center"/>
    </w:pPr>
    <w:rPr>
      <w:rFonts w:ascii="Sylfaen" w:eastAsia="Sylfaen" w:hAnsi="Sylfaen" w:cs="Sylfaen"/>
      <w:spacing w:val="2"/>
      <w:sz w:val="18"/>
      <w:szCs w:val="18"/>
    </w:rPr>
  </w:style>
  <w:style w:type="character" w:customStyle="1" w:styleId="Zkladntext7Sylfaen9bodovNietunNiekurzvaRiadkovanie0pt">
    <w:name w:val="Základný text (7) + Sylfaen;9 bodov;Nie tučné;Nie kurzíva;Riadkovanie 0 pt"/>
    <w:basedOn w:val="Predvolenpsmoodseku"/>
    <w:rsid w:val="00930B6A"/>
    <w:rPr>
      <w:rFonts w:ascii="Sylfaen" w:eastAsia="Sylfaen" w:hAnsi="Sylfaen" w:cs="Sylfae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sk-SK"/>
    </w:rPr>
  </w:style>
  <w:style w:type="character" w:customStyle="1" w:styleId="Zkladntext7">
    <w:name w:val="Základný text (7)_"/>
    <w:basedOn w:val="Predvolenpsmoodseku"/>
    <w:link w:val="Zkladntext70"/>
    <w:rsid w:val="00930B6A"/>
    <w:rPr>
      <w:rFonts w:ascii="Times New Roman" w:eastAsia="Times New Roman" w:hAnsi="Times New Roman" w:cs="Times New Roman"/>
      <w:b/>
      <w:bCs/>
      <w:i/>
      <w:iCs/>
      <w:spacing w:val="4"/>
      <w:sz w:val="17"/>
      <w:szCs w:val="17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930B6A"/>
    <w:pPr>
      <w:widowControl w:val="0"/>
      <w:shd w:val="clear" w:color="auto" w:fill="FFFFFF"/>
      <w:spacing w:after="0" w:line="238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17"/>
      <w:szCs w:val="17"/>
    </w:rPr>
  </w:style>
  <w:style w:type="character" w:customStyle="1" w:styleId="Zkladntext7NiekurzvaRiadkovanie0pt">
    <w:name w:val="Základný text (7) + Nie kurzíva;Riadkovanie 0 pt"/>
    <w:basedOn w:val="Zkladntext7"/>
    <w:rsid w:val="00930B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sk-SK"/>
    </w:rPr>
  </w:style>
  <w:style w:type="character" w:customStyle="1" w:styleId="Zkladntext7105bodovNietunNiekurzvaRiadkovanie0pt">
    <w:name w:val="Základný text (7) + 10;5 bodov;Nie tučné;Nie kurzíva;Riadkovanie 0 pt"/>
    <w:basedOn w:val="Zkladntext7"/>
    <w:rsid w:val="00930B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4TimesNewRoman85bodovTunRiadkovanie0pt">
    <w:name w:val="Základný text (4) + Times New Roman;8;5 bodov;Tučné;Riadkovanie 0 pt"/>
    <w:basedOn w:val="Zkladntext4"/>
    <w:rsid w:val="00930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30B6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30B6A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Zkladntext2">
    <w:name w:val="Základný text2"/>
    <w:basedOn w:val="Predvolenpsmoodseku"/>
    <w:rsid w:val="0093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0B6A"/>
    <w:pPr>
      <w:keepNext/>
      <w:keepLines/>
      <w:numPr>
        <w:numId w:val="3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0B6A"/>
    <w:pPr>
      <w:keepNext/>
      <w:keepLines/>
      <w:numPr>
        <w:ilvl w:val="1"/>
        <w:numId w:val="3"/>
      </w:numPr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4">
    <w:name w:val="Základný text (4)_"/>
    <w:basedOn w:val="Predvolenpsmoodseku"/>
    <w:link w:val="Zkladntext40"/>
    <w:rsid w:val="00930B6A"/>
    <w:rPr>
      <w:rFonts w:ascii="Sylfaen" w:eastAsia="Sylfaen" w:hAnsi="Sylfaen" w:cs="Sylfaen"/>
      <w:spacing w:val="2"/>
      <w:sz w:val="18"/>
      <w:szCs w:val="18"/>
      <w:shd w:val="clear" w:color="auto" w:fill="FFFFFF"/>
    </w:rPr>
  </w:style>
  <w:style w:type="character" w:customStyle="1" w:styleId="Zkladntext4TimesNewRoman85bodovTunKurzvaRiadkovanie0pt">
    <w:name w:val="Základný text (4) + Times New Roman;8;5 bodov;Tučné;Kurzíva;Riadkovanie 0 pt"/>
    <w:basedOn w:val="Zkladntext4"/>
    <w:rsid w:val="00930B6A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7"/>
      <w:szCs w:val="17"/>
      <w:shd w:val="clear" w:color="auto" w:fill="FFFFFF"/>
      <w:lang w:val="sk-SK"/>
    </w:rPr>
  </w:style>
  <w:style w:type="paragraph" w:customStyle="1" w:styleId="Zkladntext40">
    <w:name w:val="Základný text (4)"/>
    <w:basedOn w:val="Normlny"/>
    <w:link w:val="Zkladntext4"/>
    <w:rsid w:val="00930B6A"/>
    <w:pPr>
      <w:widowControl w:val="0"/>
      <w:shd w:val="clear" w:color="auto" w:fill="FFFFFF"/>
      <w:spacing w:before="5580" w:after="0" w:line="292" w:lineRule="exact"/>
      <w:jc w:val="center"/>
    </w:pPr>
    <w:rPr>
      <w:rFonts w:ascii="Sylfaen" w:eastAsia="Sylfaen" w:hAnsi="Sylfaen" w:cs="Sylfaen"/>
      <w:spacing w:val="2"/>
      <w:sz w:val="18"/>
      <w:szCs w:val="18"/>
    </w:rPr>
  </w:style>
  <w:style w:type="character" w:customStyle="1" w:styleId="Zkladntext7Sylfaen9bodovNietunNiekurzvaRiadkovanie0pt">
    <w:name w:val="Základný text (7) + Sylfaen;9 bodov;Nie tučné;Nie kurzíva;Riadkovanie 0 pt"/>
    <w:basedOn w:val="Predvolenpsmoodseku"/>
    <w:rsid w:val="00930B6A"/>
    <w:rPr>
      <w:rFonts w:ascii="Sylfaen" w:eastAsia="Sylfaen" w:hAnsi="Sylfaen" w:cs="Sylfae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sk-SK"/>
    </w:rPr>
  </w:style>
  <w:style w:type="character" w:customStyle="1" w:styleId="Zkladntext7">
    <w:name w:val="Základný text (7)_"/>
    <w:basedOn w:val="Predvolenpsmoodseku"/>
    <w:link w:val="Zkladntext70"/>
    <w:rsid w:val="00930B6A"/>
    <w:rPr>
      <w:rFonts w:ascii="Times New Roman" w:eastAsia="Times New Roman" w:hAnsi="Times New Roman" w:cs="Times New Roman"/>
      <w:b/>
      <w:bCs/>
      <w:i/>
      <w:iCs/>
      <w:spacing w:val="4"/>
      <w:sz w:val="17"/>
      <w:szCs w:val="17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930B6A"/>
    <w:pPr>
      <w:widowControl w:val="0"/>
      <w:shd w:val="clear" w:color="auto" w:fill="FFFFFF"/>
      <w:spacing w:after="0" w:line="238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pacing w:val="4"/>
      <w:sz w:val="17"/>
      <w:szCs w:val="17"/>
    </w:rPr>
  </w:style>
  <w:style w:type="character" w:customStyle="1" w:styleId="Zkladntext7NiekurzvaRiadkovanie0pt">
    <w:name w:val="Základný text (7) + Nie kurzíva;Riadkovanie 0 pt"/>
    <w:basedOn w:val="Zkladntext7"/>
    <w:rsid w:val="00930B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sk-SK"/>
    </w:rPr>
  </w:style>
  <w:style w:type="character" w:customStyle="1" w:styleId="Zkladntext7105bodovNietunNiekurzvaRiadkovanie0pt">
    <w:name w:val="Základný text (7) + 10;5 bodov;Nie tučné;Nie kurzíva;Riadkovanie 0 pt"/>
    <w:basedOn w:val="Zkladntext7"/>
    <w:rsid w:val="00930B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4TimesNewRoman85bodovTunRiadkovanie0pt">
    <w:name w:val="Základný text (4) + Times New Roman;8;5 bodov;Tučné;Riadkovanie 0 pt"/>
    <w:basedOn w:val="Zkladntext4"/>
    <w:rsid w:val="00930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30B6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30B6A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Zkladntext2">
    <w:name w:val="Základný text2"/>
    <w:basedOn w:val="Predvolenpsmoodseku"/>
    <w:rsid w:val="00930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TF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Kucharčik</dc:creator>
  <cp:lastModifiedBy>Richard Kucharčik</cp:lastModifiedBy>
  <cp:revision>1</cp:revision>
  <dcterms:created xsi:type="dcterms:W3CDTF">2016-06-06T09:16:00Z</dcterms:created>
  <dcterms:modified xsi:type="dcterms:W3CDTF">2016-06-06T09:19:00Z</dcterms:modified>
</cp:coreProperties>
</file>