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BF2" w:rsidRDefault="00BA5BF2">
      <w:pPr>
        <w:jc w:val="center"/>
      </w:pPr>
      <w:r>
        <w:rPr>
          <w:sz w:val="36"/>
          <w:szCs w:val="36"/>
        </w:rPr>
        <w:t>Možnosti obce pri podpore rodiny</w:t>
      </w:r>
    </w:p>
    <w:p w:rsidR="00BA5BF2" w:rsidRDefault="00BA5BF2">
      <w:pPr>
        <w:jc w:val="center"/>
      </w:pPr>
      <w:r>
        <w:t>RNDr. Rudolf Bauer, PhD.</w:t>
      </w:r>
    </w:p>
    <w:p w:rsidR="00BA5BF2" w:rsidRDefault="00BA5BF2">
      <w:r>
        <w:tab/>
      </w:r>
      <w:r>
        <w:tab/>
      </w:r>
      <w:r>
        <w:tab/>
      </w:r>
      <w:r>
        <w:tab/>
      </w:r>
      <w:r>
        <w:tab/>
        <w:t>Október 2011</w:t>
      </w:r>
    </w:p>
    <w:p w:rsidR="00BA5BF2" w:rsidRDefault="00BA5BF2"/>
    <w:p w:rsidR="00BA5BF2" w:rsidRDefault="00BA5BF2">
      <w:r>
        <w:t>Podľa dokumentu Jána Pavla II. „Familiaris Consortio“ sa má verejná moc všemožne usilovať poskytnúť rodinám hospodársku, sociálnu, výchovnú, politickú a kultúrnu pomoc, ktorú potrebujú na zodpovedné plnenie všetkých svojich úloh. (čl. 45). Obec (miestna samospráva) ako subjekt verejného sektoru sa tiež podieľa na verejnej moci, preto táto požiadavka sa vzťahuje aj na ňu.</w:t>
      </w:r>
    </w:p>
    <w:p w:rsidR="00BA5BF2" w:rsidRDefault="00BA5BF2"/>
    <w:p w:rsidR="00BA5BF2" w:rsidRDefault="00BA5BF2">
      <w:r>
        <w:t>Miestna samospráva na Slovensku si za 20 rokov svojej existenciu získala pevné miesto vo verejnom sektore. Napriek tomu, že obce v porovnaní s municipalitami v zahraničí sú kompetenčne a finančne relatívne slabé, zabezpečujú viaceré dôležité verejnoprospešné služby - sú zodpovedné za čistotu, zeleň, odvoz a zneškodňovanie odpadov, sociálne služby, základné školstvo, usmerňujú ekonomickú činnosť na svojom území, schvaľujú rozvojové plány, územno-plánovaciu dokumentáciu ap. Územná samospráva má jedno dôležité špecifikum, na rozdiel od štátnych inštitúcii sa obec resp. mesto na Slovensku nemusí riadiť len predpísanými postupmi v zákonoch, ale môže sa venovať aj oblastiam nad rámec svojich zákonných povinností. Obec je samozrejme viazaná Ústavou a zákonmi, ale má samosprávny charakter, čo znamená, že môže vytvárať nové postupy, ktoré nie sú predpísané v zákone a môže svoje zdroje použiť aj na priority, ktoré si určí. To znamená, že obec môže nad rámec svojich zákonných povinností realizovať aj špeciálne programy na podporu rodiny.</w:t>
      </w:r>
    </w:p>
    <w:p w:rsidR="00BA5BF2" w:rsidRDefault="00BA5BF2"/>
    <w:p w:rsidR="00BA5BF2" w:rsidRDefault="00BA5BF2">
      <w:r>
        <w:t>Obec má podľa zákona povinnosť pripraviť a schváliť rozvojový program obce, ktorý sa nazýva program hospodárskeho a sociálneho rozvoja obce. Takýto program v predpísanej štruktúre je hlavným rozvojovým plánom obce, a zároveň jeho existencia je predpokladom pre čerpanie európskych doplnkových finančných zdrojov. Tento rozvojový plán je základom pre tvorbu programového rozpočtu obce. V rozvojovom programe obce je možné definovať aj dlhodobé programy na podporu rodiny. Napr. mesto Košice má vo svojom rozvojovom pláne jedno zo štyroch základných smerovaní rozvoja „Košice – mesto rodiny“. (Ďalšie smerovania sú Košice – mesto kultúry, Košice – mesto zdravia a Košice – mesto inovácií.) V rámci strategického smerovania podpory rodiny cieľom košického programu je posilňovať základné funkcie rodiny a spoločenský status rodiny ako základnej bunky spoločnosti, vytvárať podmienky pre život najmä mladým rodinám, rodinám s deťmi a marginalizovaným skupinám obyvateľov mesta odkázaným na sociálnu pomoc a sociálne služby. Rozvojové plány sú však vždy závislé od miery porozumenia volenými aj odbornými predstaviteľmi obce a od prepojenosti s programovým rozpočtom. To znamená, že pokiaľ definované priority a ciele rozvojového plánu nie sú premietnuté v rozpočte, tak vo väčšine prípadov ich nie je možné realizovať.</w:t>
      </w:r>
    </w:p>
    <w:p w:rsidR="00BA5BF2" w:rsidRDefault="00BA5BF2"/>
    <w:p w:rsidR="00BA5BF2" w:rsidRDefault="00BA5BF2">
      <w:r>
        <w:t>V rámci usmerňovania lokálnej ekonomickej činnosti môže obec s pomocou štátnych a/alebo európskych zdrojov vytvárať podmienky pre ekonomický rast, pre pritiahnutie podnikateľov. Môže budovať technickú infraštruktúru, cesty, kanalizáciu a ďalšie siete, môže poskytovať pozemky pre umiestnenie podnikateľských subjektov, môže vybudovať priemyselný park, či podnikateľský inkubátor. Úspešných “príbehov” na Slovensku je viacej: napr. mesto Trnava pomohla pri vybudovaní automobilky „PSA Peugeot Citroen“, alebo obec Kechnec pri Košiciach, ktorá vytvorením podmienok pre vznik priemyselného parku pritiahla desiatky zahraničných firiem, ktoré vytvorili tiež niekoľko tisíc nových pracovných miest. Takisto mesto Sabinov je príkladom úspešného dlhodobého plánovania pri podpore lokálnej ekonomiky.</w:t>
      </w:r>
    </w:p>
    <w:p w:rsidR="00BA5BF2" w:rsidRDefault="00BA5BF2"/>
    <w:p w:rsidR="00BA5BF2" w:rsidRDefault="00BA5BF2">
      <w:r>
        <w:t>Obec má zo zákona zriaďovateľskú právomoc, čo znamená, že môže na plnenie svojich funkcií zriaďovať rozpočtové, príspevkové organizácie, alebo aj obchodné spoločnosti. Obec rozhoduje o zriadení resp. zrušení základných škôl, školských a predškolských zariadení. Obec je vlastníkom školských budov a zodpovedá za ich stav a podmienky na výuku. Ako zriaďovateľ má možnosť hovoriť do výberu štatutárnych orgánov svojich inštitúcií. Pri nepriaznivom demografickom vývoji, keď úhrnná plodnosť je dlhodobo pod hranicou tzv. jednoduchej reprodukcie (2,1 dieťaťa na ženu) stáli mestá a obce pred nevďačným problémom optimalizácie siete štátnych škôl a školských zariadení. To vytváralo určité napätie medzi štátnymi a neštátnymi školami. Posledné 2 roky už zase stúpa počet prvákov na základných školách, čo priaznivo zlepšuje klímu na školách.</w:t>
      </w:r>
    </w:p>
    <w:p w:rsidR="00BA5BF2" w:rsidRDefault="00BA5BF2"/>
    <w:p w:rsidR="00BA5BF2" w:rsidRDefault="00BA5BF2">
      <w:r>
        <w:t xml:space="preserve">Vzhľadom na nepriaznivý demografický vývoj a zároveň odliv obyvateľov z obcí do miest, niektoré obce poskytujú navyše extra príspevky pri narodení detí zo svojich rozpočtov. Rodičia tak dostanú okrem štátnej sociálnej dávky - príspevku pri narodení dieťaťa (151€ na dieťa) a príplatku k príspevku (678 € na dieťa) ďalší finančný bonus od obce. Motivácia obce spočíva v tom, že keď klesá počet obyvateľov, tak obce prichádzajú o ich dane. Napr. obec Michalová pri Brezne poskytuje príspevok 40 € pri narodení prvého dieťaťa a 30 € pri druhom; obec Staré pri Michalovciach poskytuje 150 € pri narodení dieťaťa a 150 € aj pri uzavretí manželstva; Štiavnik poskytuje 100 € pri narodení dieťaťa; Križovany nad Dudváhom 150 €; Pečeňady pri Leopoldove príspevok obce až do výšky 200 € pre jedno dieťa ap. </w:t>
      </w:r>
    </w:p>
    <w:p w:rsidR="00BA5BF2" w:rsidRDefault="00BA5BF2"/>
    <w:p w:rsidR="00BA5BF2" w:rsidRDefault="00BA5BF2">
      <w:r>
        <w:t>Obec môže vytvoriť dotačný systém na podporu kultúrnych, vzdelávacích, športových, duchovných a ďalších aktivít pre inštitúcie, organizácie aj jednotlivcov na svojom území. Podmienky získania takýchto prostriedkov definuje formou všeobecne záväzného nariadenia, schvaľovaného poslancami obecného zastupiteľstva. Množstvo financií na dotačný program schvaľuje každý rok vo svojom programovom rozpočte, ktorý je min. 15 dní pred schvaľovaním vyvesený na úradnej tabuli s cieľom informovať obyvateľov obce a možnosťou ich participácie na jeho prioritách.  Poslanci obecného zastupiteľstva majú možnosť v rozpočte schváliť finančné prostriedky na rôzne pro-rodinné opatrenia a dotácie aj na podporu rodiny.</w:t>
      </w:r>
    </w:p>
    <w:p w:rsidR="00BA5BF2" w:rsidRDefault="00BA5BF2"/>
    <w:p w:rsidR="00BA5BF2" w:rsidRDefault="00BA5BF2">
      <w:r>
        <w:t xml:space="preserve">Obec ako zamestnávateľ pracovníkov na úrade, prípadne zamestnancov obecného podniku môže realizovať rovnaké opatrenia na podporu rodiny ako iný zamestnávateľ. Napr. môže zaviesť flexibilný pracovný čas, dohodnúť kratšie pracovné úväzky pre matky s maloletými deťmi, realizovať team-buildingové aktivity nielen pre samotných zamestnancov, ale pre ich celé rodiny aj s deťmi ap. Starosta, ktorý chce podporovať rodinu môže ako štatutárny zástupca obce vyjsť v ústrety rodinám svojich zamestnancov. </w:t>
      </w:r>
    </w:p>
    <w:p w:rsidR="00BA5BF2" w:rsidRDefault="00BA5BF2"/>
    <w:p w:rsidR="00BA5BF2" w:rsidRDefault="00BA5BF2">
      <w:r>
        <w:t>V rámci pro-rodinných opatrení môže obec financovať služby na zvyšovanie rodičovských kompetencií, organizovať poradenstvo, organizovať voľnočasové aktivity pre rodiny, budovať detské ihriská, parky, môže organizovať aktivity na ochranu detí pred drogami (Napr. každoročné streetballové podujatie v Košiciach “Zober loptu a nie drogy”), pred alkoholom, pornografiou, výhernými automatmi ap., môže organizovať Deň matiek, Deň rodiny, Deň seniorov ap.</w:t>
      </w:r>
    </w:p>
    <w:p w:rsidR="00BA5BF2" w:rsidRDefault="00BA5BF2"/>
    <w:p w:rsidR="00BA5BF2" w:rsidRDefault="00BA5BF2">
      <w:r>
        <w:t xml:space="preserve">Po poslednej novele Zákona o hazardných hrách, ktorou bola obci daná veľmi dôležitá právomoc rozhodnúť, ktoré z hazardných hier nie je možné prevádzkovať na jej území, už niektoré obce túto možnosť využili bez ohľadu na stratu príjmov. Napr. Sabinov zakázal od </w:t>
      </w:r>
      <w:r>
        <w:lastRenderedPageBreak/>
        <w:t>1.1.2012 videolotérie a od 1.7.2012 aj výherné prístroje. Výpadok v príjmoch mesta je cca 100.000 euro, čo je cca 1,5% z bežných príjmov. Žiadne hracie automaty nemá ani Beluša v okrese Púchov a v Bratislave tiež zvažujú obmedziť hracie automaty. Stop hazardu dali minulý týždeň aj poslanci v </w:t>
      </w:r>
      <w:r w:rsidR="003901B6">
        <w:t>Podolínci</w:t>
      </w:r>
      <w:r>
        <w:t>.</w:t>
      </w:r>
    </w:p>
    <w:p w:rsidR="00BA5BF2" w:rsidRDefault="00BA5BF2"/>
    <w:p w:rsidR="00BA5BF2" w:rsidRDefault="00BA5BF2">
      <w:r>
        <w:t xml:space="preserve">V rámci podpory bytovej politiky obec môže stavať obecné byty pre rodiny. Obce sa podieľajú cca 15% na celkovom počte dokončených bytov na Slovensku, pričom intenzita výstavby je cca 4 dokončené byty na 1000 obyvateľov. </w:t>
      </w:r>
    </w:p>
    <w:p w:rsidR="00BA5BF2" w:rsidRDefault="00BA5BF2"/>
    <w:p w:rsidR="00BA5BF2" w:rsidRDefault="00BA5BF2">
      <w:r>
        <w:t xml:space="preserve">Ako je z tohto prehľadu vidieť, obec môže v rámci svojich právomocí ovplyvňovať podmienky pre existenciu rodiny. Je vhodné, ak obec má vytvorenú pro-rodinnú stratégiu resp. politiku. Tvorba takejto stratégie by mala začať analýzou stavu rodiny v obci, v rámci ktorej by mala obec získať prehľad nielen o existujúcich štatistických údajoch demografického a rodinného charakteru, ale aj pozitívnych resp. negatívnych trendoch vývoja  dôležitých indikátorov a ich porovnaní s celoslovenskými, príp. európskymi trendmi. Analýza rodiny by mala vychádzať zo strednodobých trendov ukazovateľov z oblasti rodinnej a demografickej štatistiky a mala by pokrývať bytovú politiku, školské a predškolské zariadenia, sociálne a kultúrne zariadenia, kluby dôchodcov resp. denné centrá, detské ihriská a parky, voľnočasové aktivity pre deti, bezpečnostné opatrenia, podporu neziskových organizácií venujúcich sa rodine, podporu cirkvi ap. Na základe takejto analýzy majú odborní pracovníci interní alebo externí navrhnúť programy pro-rodinných opatrení, ktoré reagujú na špecifické negatívne trendy vývoja ukazovateľov stavu rodiny v obci s cieľom ich zmeny. Tieto opatrenia  môže obec realizovať postupne zo svojho rozpočtu, zo štátnych zdrojov, zo štrukturálnych fondov Európskej únie, príp. zapojením súkromného sektora. </w:t>
      </w:r>
    </w:p>
    <w:p w:rsidR="00BA5BF2" w:rsidRDefault="00BA5BF2"/>
    <w:p w:rsidR="00BA5BF2" w:rsidRDefault="00BA5BF2">
      <w:r>
        <w:t xml:space="preserve">Veľmi užitočné pre zvýšenie priority rodiny ako takej medzi rozvojovými prioritami je porovnávanie pro-rodinných opatrení jednotlivých obcí napr. pomocou súťaží. Inšpiratívny prístup je možné vidieť v Čechách, kde Ministerstvo práce a sociálnych vecí ČR už štvrtý rok organizuje súťaž “Obec přátelská rodině”. Podkladom pre vstup do súťaže je vyplnenie podrobného dotazníka o štruktúre pro-rodinnych opatrení. Víťazná obec získava titul “Obec přátelská rodině” a dotáciu na pro-rodinné aktivity. Súťaží sa v šiestich veľkostných kategóriách a súťaže sa každý rok zúčastňuje okolo 150 obcí. Na dotácie je v tomto roku vyčlenených 7 mil. Kč. Posledný ročník v kategórii najväčších miest vyhralo mesto Brno stred a najvyššiu dotáciu získal Rychnov nad Knéžnou. </w:t>
      </w:r>
    </w:p>
    <w:p w:rsidR="00BA5BF2" w:rsidRDefault="00BA5BF2"/>
    <w:p w:rsidR="00BA5BF2" w:rsidRDefault="00BA5BF2">
      <w:r>
        <w:t>Cieľom rodinnej politiky mesta Brna je “venovať sústavnú pozornosť životným podmienkam rodín a realizovať vhodné opatrenia tak, aby bola posilňovaná autonómia rodín a umožňované ich slobodné rozhodovanie pri uskutočňovaní životných plánov”. Brno realizovalo viaceré projekty, má napr. vybudovanú sieť 21 tzv. “Family points”, čo sú bezbariérové miesta priateľské k rodine, kde je možné získať informácie a poradenstvo v oblastiach života rodín, mamičky majú možnosť prebaliť a nakŕmiť deti, je tam detský kútik a priestor pre stretávanie sa. V rámci zlučiteľnosti rodiny a zamestnania mesto podporuje kratší pracovný úväzok vo svojich organizáciách, podporuje zamestnávateľov pri pro-rodinných opatreniach, podporuje vzdelávanie rodičov na rodičovskej dovolenke.</w:t>
      </w:r>
      <w:r>
        <w:rPr>
          <w:rStyle w:val="Znakapoznpodarou"/>
        </w:rPr>
        <w:footnoteReference w:id="1"/>
      </w:r>
      <w:r>
        <w:t xml:space="preserve"> Mestečko Rychnov nad Knežnou bolo ocenené za zvýšenie mobility občanov a za dobré komunitné plánovanie sociálnych služieb.</w:t>
      </w:r>
      <w:r>
        <w:rPr>
          <w:shd w:val="solid" w:color="F8F8F8" w:fill="F8F8F8"/>
        </w:rPr>
        <w:t xml:space="preserve"> </w:t>
      </w:r>
    </w:p>
    <w:p w:rsidR="00BA5BF2" w:rsidRDefault="00BA5BF2">
      <w:pPr>
        <w:rPr>
          <w:shd w:val="solid" w:color="F8F8F8" w:fill="F8F8F8"/>
        </w:rPr>
      </w:pPr>
    </w:p>
    <w:p w:rsidR="00BA5BF2" w:rsidRDefault="00BA5BF2">
      <w:r>
        <w:t xml:space="preserve">Aj na Slovensku prebieha súťaž, ktorú organizuje už 10 rokov Ministerstvo práce, sociálnych vecí a rodiny a má názov: “Zamestnávateľ, ústretový k rodine, rodovej rovnosti a rovnosti </w:t>
      </w:r>
      <w:r>
        <w:lastRenderedPageBreak/>
        <w:t>príležitostí.” Niektoré balíky pro-rodinných opatrení, ktoré realizovali firmy na Slovensku sú dobrou inšpiráciou pre iných, zapojenie konceptu rodovej rovnosti  však vnáša do súťaže liberálno feministickú ideológiu, ktorá protirečí kresťanskému pohľadu na rodinu a manželstvo.</w:t>
      </w:r>
    </w:p>
    <w:p w:rsidR="00BA5BF2" w:rsidRDefault="00BA5BF2"/>
    <w:p w:rsidR="00BA5BF2" w:rsidRDefault="00BA5BF2">
      <w:r>
        <w:t xml:space="preserve">V mestskej časti Košice-Západ sú realizované niektoré prorodinné opatrenia, napr. v rámci dotačnej schémy boli tohto roku podporené viaceré soft projekty Saleziánov na Troch hôrkach, posledným projektom bola podpora Materského centra, ďalej boli podporené projekt Inštitútu rodiny, občianskeho združenia Haliganda, boli poskytnuté dotácie na kapitálové výdavky pre </w:t>
      </w:r>
      <w:r w:rsidR="003901B6">
        <w:t>Rímskokatolícku</w:t>
      </w:r>
      <w:bookmarkStart w:id="0" w:name="_GoBack"/>
      <w:bookmarkEnd w:id="0"/>
      <w:r>
        <w:t xml:space="preserve"> cirkev farnosť Sv. Gorazda a pre Cirkevný zbor Evanjelickej cirkvi. Mestská časť podporuje zo svojho rozpočtu materské centrum Delfínik, Denné centrá - Kluby seniorov, z toho jeden Klub kresťanských seniorov a realizuje opatrovateľskú službu. Pre deti sa budujú detské ihriská, organizujú kultúrne a športové aktivity, Dni Terasy, Kultúrne leto, mestská časť sa spolupodieľala na organizovaní najväčšieho streetballového podujatia v Košiciach “Zober loptu, nie drogy”. V mestskej časti plánujeme vytvoriť stratégiu pro-rodinnej politiky.</w:t>
      </w:r>
    </w:p>
    <w:p w:rsidR="00BA5BF2" w:rsidRDefault="00BA5BF2"/>
    <w:sectPr w:rsidR="00BA5BF2" w:rsidSect="001A303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535" w:rsidRDefault="00AB5535">
      <w:r>
        <w:separator/>
      </w:r>
    </w:p>
  </w:endnote>
  <w:endnote w:type="continuationSeparator" w:id="0">
    <w:p w:rsidR="00AB5535" w:rsidRDefault="00AB5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BF2" w:rsidRDefault="00AB5535">
    <w:pPr>
      <w:jc w:val="center"/>
    </w:pPr>
    <w:r>
      <w:fldChar w:fldCharType="begin"/>
    </w:r>
    <w:r>
      <w:instrText>PAGE</w:instrText>
    </w:r>
    <w:r>
      <w:fldChar w:fldCharType="separate"/>
    </w:r>
    <w:r w:rsidR="003901B6">
      <w:rPr>
        <w:noProof/>
      </w:rPr>
      <w:t>4</w:t>
    </w:r>
    <w:r>
      <w:rPr>
        <w:noProof/>
      </w:rPr>
      <w:fldChar w:fldCharType="end"/>
    </w:r>
  </w:p>
  <w:p w:rsidR="00BA5BF2" w:rsidRDefault="00BA5BF2">
    <w:pPr>
      <w:spacing w:line="276" w:lineRule="auto"/>
      <w:jc w:val="right"/>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535" w:rsidRDefault="00AB5535">
      <w:r>
        <w:separator/>
      </w:r>
    </w:p>
  </w:footnote>
  <w:footnote w:type="continuationSeparator" w:id="0">
    <w:p w:rsidR="00AB5535" w:rsidRDefault="00AB5535">
      <w:r>
        <w:continuationSeparator/>
      </w:r>
    </w:p>
  </w:footnote>
  <w:footnote w:id="1">
    <w:p w:rsidR="00BA5BF2" w:rsidRDefault="00BA5BF2">
      <w:pPr>
        <w:spacing w:line="276" w:lineRule="auto"/>
      </w:pPr>
      <w:r>
        <w:rPr>
          <w:rStyle w:val="Znakapoznpodarou"/>
        </w:rPr>
        <w:footnoteRef/>
      </w:r>
      <w:r>
        <w:rPr>
          <w:rFonts w:ascii="Arial" w:hAnsi="Arial" w:cs="Arial"/>
          <w:sz w:val="22"/>
          <w:szCs w:val="22"/>
        </w:rPr>
        <w:t xml:space="preserve"> </w:t>
      </w:r>
      <w:hyperlink r:id="rId1" w:history="1">
        <w:r>
          <w:rPr>
            <w:color w:val="000099"/>
            <w:sz w:val="22"/>
            <w:szCs w:val="22"/>
            <w:u w:val="single"/>
          </w:rPr>
          <w:t>www</w:t>
        </w:r>
      </w:hyperlink>
      <w:hyperlink r:id="rId2" w:history="1">
        <w:r>
          <w:rPr>
            <w:color w:val="000099"/>
            <w:sz w:val="22"/>
            <w:szCs w:val="22"/>
            <w:u w:val="single"/>
          </w:rPr>
          <w:t>.</w:t>
        </w:r>
      </w:hyperlink>
      <w:hyperlink r:id="rId3" w:history="1">
        <w:r>
          <w:rPr>
            <w:color w:val="000099"/>
            <w:sz w:val="22"/>
            <w:szCs w:val="22"/>
            <w:u w:val="single"/>
          </w:rPr>
          <w:t>brnoprorodiny</w:t>
        </w:r>
      </w:hyperlink>
      <w:hyperlink r:id="rId4" w:history="1">
        <w:r>
          <w:rPr>
            <w:color w:val="000099"/>
            <w:sz w:val="22"/>
            <w:szCs w:val="22"/>
            <w:u w:val="single"/>
          </w:rPr>
          <w:t>.</w:t>
        </w:r>
      </w:hyperlink>
      <w:hyperlink r:id="rId5" w:history="1">
        <w:r>
          <w:rPr>
            <w:color w:val="000099"/>
            <w:sz w:val="22"/>
            <w:szCs w:val="22"/>
            <w:u w:val="single"/>
          </w:rPr>
          <w:t>cz</w:t>
        </w:r>
      </w:hyperlink>
      <w:r>
        <w:rPr>
          <w:rFonts w:ascii="Arial" w:hAnsi="Arial" w:cs="Arial"/>
          <w:sz w:val="22"/>
          <w:szCs w:val="22"/>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7B3E"/>
    <w:rsid w:val="001A303A"/>
    <w:rsid w:val="001B5623"/>
    <w:rsid w:val="003901B6"/>
    <w:rsid w:val="0051504F"/>
    <w:rsid w:val="00517A63"/>
    <w:rsid w:val="00A77B3E"/>
    <w:rsid w:val="00AB5535"/>
    <w:rsid w:val="00BA5BF2"/>
    <w:rsid w:val="00D85C33"/>
    <w:rsid w:val="00E20A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303A"/>
    <w:rPr>
      <w:color w:val="000000"/>
      <w:sz w:val="24"/>
      <w:szCs w:val="24"/>
    </w:rPr>
  </w:style>
  <w:style w:type="paragraph" w:styleId="Nadpis1">
    <w:name w:val="heading 1"/>
    <w:basedOn w:val="Normln"/>
    <w:next w:val="Normln"/>
    <w:link w:val="Nadpis1Char"/>
    <w:uiPriority w:val="99"/>
    <w:qFormat/>
    <w:pPr>
      <w:spacing w:before="240" w:after="60"/>
      <w:outlineLvl w:val="0"/>
    </w:pPr>
    <w:rPr>
      <w:rFonts w:ascii="Arial" w:hAnsi="Arial" w:cs="Arial"/>
      <w:b/>
      <w:bCs/>
      <w:sz w:val="32"/>
      <w:szCs w:val="32"/>
    </w:rPr>
  </w:style>
  <w:style w:type="paragraph" w:styleId="Nadpis2">
    <w:name w:val="heading 2"/>
    <w:basedOn w:val="Normln"/>
    <w:next w:val="Normln"/>
    <w:link w:val="Nadpis2Char"/>
    <w:uiPriority w:val="99"/>
    <w:qFormat/>
    <w:pPr>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pPr>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pPr>
      <w:spacing w:before="240" w:after="60"/>
      <w:outlineLvl w:val="3"/>
    </w:pPr>
    <w:rPr>
      <w:b/>
      <w:bCs/>
      <w:sz w:val="28"/>
      <w:szCs w:val="28"/>
    </w:rPr>
  </w:style>
  <w:style w:type="paragraph" w:styleId="Nadpis5">
    <w:name w:val="heading 5"/>
    <w:basedOn w:val="Normln"/>
    <w:next w:val="Normln"/>
    <w:link w:val="Nadpis5Char"/>
    <w:uiPriority w:val="99"/>
    <w:qFormat/>
    <w:pPr>
      <w:spacing w:before="240" w:after="60"/>
      <w:outlineLvl w:val="4"/>
    </w:pPr>
    <w:rPr>
      <w:b/>
      <w:bCs/>
      <w:i/>
      <w:iCs/>
      <w:sz w:val="26"/>
      <w:szCs w:val="26"/>
    </w:rPr>
  </w:style>
  <w:style w:type="paragraph" w:styleId="Nadpis6">
    <w:name w:val="heading 6"/>
    <w:basedOn w:val="Normln"/>
    <w:next w:val="Normln"/>
    <w:link w:val="Nadpis6Char"/>
    <w:uiPriority w:val="99"/>
    <w:qFormat/>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770C41"/>
    <w:rPr>
      <w:rFonts w:ascii="Cambria" w:eastAsia="Times New Roman" w:hAnsi="Cambria" w:cs="Times New Roman"/>
      <w:b/>
      <w:bCs/>
      <w:color w:val="000000"/>
      <w:kern w:val="32"/>
      <w:sz w:val="32"/>
      <w:szCs w:val="32"/>
    </w:rPr>
  </w:style>
  <w:style w:type="character" w:customStyle="1" w:styleId="Nadpis2Char">
    <w:name w:val="Nadpis 2 Char"/>
    <w:link w:val="Nadpis2"/>
    <w:uiPriority w:val="9"/>
    <w:semiHidden/>
    <w:rsid w:val="00770C41"/>
    <w:rPr>
      <w:rFonts w:ascii="Cambria" w:eastAsia="Times New Roman" w:hAnsi="Cambria" w:cs="Times New Roman"/>
      <w:b/>
      <w:bCs/>
      <w:i/>
      <w:iCs/>
      <w:color w:val="000000"/>
      <w:sz w:val="28"/>
      <w:szCs w:val="28"/>
    </w:rPr>
  </w:style>
  <w:style w:type="character" w:customStyle="1" w:styleId="Nadpis3Char">
    <w:name w:val="Nadpis 3 Char"/>
    <w:link w:val="Nadpis3"/>
    <w:uiPriority w:val="9"/>
    <w:semiHidden/>
    <w:rsid w:val="00770C41"/>
    <w:rPr>
      <w:rFonts w:ascii="Cambria" w:eastAsia="Times New Roman" w:hAnsi="Cambria" w:cs="Times New Roman"/>
      <w:b/>
      <w:bCs/>
      <w:color w:val="000000"/>
      <w:sz w:val="26"/>
      <w:szCs w:val="26"/>
    </w:rPr>
  </w:style>
  <w:style w:type="character" w:customStyle="1" w:styleId="Nadpis4Char">
    <w:name w:val="Nadpis 4 Char"/>
    <w:link w:val="Nadpis4"/>
    <w:uiPriority w:val="9"/>
    <w:semiHidden/>
    <w:rsid w:val="00770C41"/>
    <w:rPr>
      <w:rFonts w:ascii="Calibri" w:eastAsia="Times New Roman" w:hAnsi="Calibri" w:cs="Times New Roman"/>
      <w:b/>
      <w:bCs/>
      <w:color w:val="000000"/>
      <w:sz w:val="28"/>
      <w:szCs w:val="28"/>
    </w:rPr>
  </w:style>
  <w:style w:type="character" w:customStyle="1" w:styleId="Nadpis5Char">
    <w:name w:val="Nadpis 5 Char"/>
    <w:link w:val="Nadpis5"/>
    <w:uiPriority w:val="9"/>
    <w:semiHidden/>
    <w:rsid w:val="00770C41"/>
    <w:rPr>
      <w:rFonts w:ascii="Calibri" w:eastAsia="Times New Roman" w:hAnsi="Calibri" w:cs="Times New Roman"/>
      <w:b/>
      <w:bCs/>
      <w:i/>
      <w:iCs/>
      <w:color w:val="000000"/>
      <w:sz w:val="26"/>
      <w:szCs w:val="26"/>
    </w:rPr>
  </w:style>
  <w:style w:type="character" w:customStyle="1" w:styleId="Nadpis6Char">
    <w:name w:val="Nadpis 6 Char"/>
    <w:link w:val="Nadpis6"/>
    <w:uiPriority w:val="9"/>
    <w:semiHidden/>
    <w:rsid w:val="00770C41"/>
    <w:rPr>
      <w:rFonts w:ascii="Calibri" w:eastAsia="Times New Roman" w:hAnsi="Calibri" w:cs="Times New Roman"/>
      <w:b/>
      <w:bCs/>
      <w:color w:val="000000"/>
    </w:rPr>
  </w:style>
  <w:style w:type="character" w:styleId="Znakapoznpodarou">
    <w:name w:val="footnote reference"/>
    <w:uiPriority w:val="99"/>
    <w:rPr>
      <w:rFonts w:cs="Times New Roman"/>
      <w:vertAlign w:val="superscript"/>
    </w:rPr>
  </w:style>
  <w:style w:type="paragraph" w:styleId="Textpoznpodarou">
    <w:name w:val="footnote text"/>
    <w:basedOn w:val="Normln"/>
    <w:link w:val="TextpoznpodarouChar"/>
    <w:uiPriority w:val="99"/>
    <w:rPr>
      <w:sz w:val="20"/>
      <w:szCs w:val="20"/>
    </w:rPr>
  </w:style>
  <w:style w:type="character" w:customStyle="1" w:styleId="TextpoznpodarouChar">
    <w:name w:val="Text pozn. pod čarou Char"/>
    <w:link w:val="Textpoznpodarou"/>
    <w:uiPriority w:val="99"/>
    <w:semiHidden/>
    <w:rsid w:val="00770C41"/>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brnoprorodiny.cz" TargetMode="External"/><Relationship Id="rId2" Type="http://schemas.openxmlformats.org/officeDocument/2006/relationships/hyperlink" Target="http://www.brnoprorodiny.cz" TargetMode="External"/><Relationship Id="rId1" Type="http://schemas.openxmlformats.org/officeDocument/2006/relationships/hyperlink" Target="http://www.brnoprorodiny.cz" TargetMode="External"/><Relationship Id="rId5" Type="http://schemas.openxmlformats.org/officeDocument/2006/relationships/hyperlink" Target="http://www.brnoprorodiny.cz" TargetMode="External"/><Relationship Id="rId4" Type="http://schemas.openxmlformats.org/officeDocument/2006/relationships/hyperlink" Target="http://www.brnoprorodiny.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1794</Words>
  <Characters>10231</Characters>
  <Application>Microsoft Office Word</Application>
  <DocSecurity>0</DocSecurity>
  <Lines>85</Lines>
  <Paragraphs>24</Paragraphs>
  <ScaleCrop>false</ScaleCrop>
  <Company/>
  <LinksUpToDate>false</LinksUpToDate>
  <CharactersWithSpaces>12001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Možnosti obce pri podpore rodiny</dc:title>
  <dc:subject/>
  <dc:creator>uzivatel</dc:creator>
  <cp:keywords/>
  <dc:description/>
  <cp:lastModifiedBy>Richard Kucharčík</cp:lastModifiedBy>
  <cp:revision>3</cp:revision>
  <dcterms:created xsi:type="dcterms:W3CDTF">2011-11-11T13:27:00Z</dcterms:created>
  <dcterms:modified xsi:type="dcterms:W3CDTF">2011-11-30T10:45:00Z</dcterms:modified>
</cp:coreProperties>
</file>